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6ABD" w:rsidRPr="00B86ABD" w:rsidRDefault="00B86ABD" w:rsidP="00B86ABD">
      <w:pPr>
        <w:spacing w:before="100" w:beforeAutospacing="1" w:after="100" w:afterAutospacing="1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86ABD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МИНИСТЕРСТВО РОССИЙСКОЙ ФЕДЕРАЦИИ ПО ДЕЛАМ ГРАЖДАНСКОЙ ОБОРОНЫ, ЧРЕЗВЫЧАЙНЫМ СИТУАЦИЯМ И ЛИКВИДАЦИИ ПОСЛЕДСТВИЙ СТИХИЙНЫХ БЕДСТВИЙ </w:t>
      </w:r>
      <w:r w:rsidRPr="00B86AB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</w:p>
    <w:p w:rsidR="00B86ABD" w:rsidRPr="00B86ABD" w:rsidRDefault="00B86ABD" w:rsidP="00B86ABD">
      <w:pPr>
        <w:spacing w:before="100" w:beforeAutospacing="1" w:after="100" w:afterAutospacing="1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86ABD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ГОСУДАРСТВЕННАЯ ПРОТИВОПОЖАРНАЯ СЛУЖБА </w:t>
      </w:r>
      <w:r w:rsidRPr="00B86AB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</w:p>
    <w:p w:rsidR="00B86ABD" w:rsidRPr="00B86ABD" w:rsidRDefault="00B86ABD" w:rsidP="00B86ABD">
      <w:pPr>
        <w:spacing w:before="100" w:beforeAutospacing="1" w:after="100" w:afterAutospacing="1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86AB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     НОРМЫ ПОЖАРНОЙ БЕЗОПАСНОСТИ </w:t>
      </w:r>
    </w:p>
    <w:p w:rsidR="00B86ABD" w:rsidRPr="00B86ABD" w:rsidRDefault="00B86ABD" w:rsidP="00B86ABD">
      <w:pPr>
        <w:spacing w:before="15" w:after="15"/>
        <w:jc w:val="center"/>
        <w:rPr>
          <w:rFonts w:ascii="Times New Roman" w:eastAsia="Times New Roman" w:hAnsi="Times New Roman" w:cs="Times New Roman"/>
          <w:b/>
          <w:bCs/>
          <w:color w:val="800000"/>
          <w:sz w:val="28"/>
          <w:szCs w:val="28"/>
          <w:lang w:eastAsia="ru-RU"/>
        </w:rPr>
      </w:pPr>
      <w:r w:rsidRPr="00B86ABD">
        <w:rPr>
          <w:rFonts w:ascii="Times New Roman" w:eastAsia="Times New Roman" w:hAnsi="Times New Roman" w:cs="Times New Roman"/>
          <w:b/>
          <w:bCs/>
          <w:color w:val="800000"/>
          <w:sz w:val="28"/>
          <w:szCs w:val="28"/>
          <w:lang w:eastAsia="ru-RU"/>
        </w:rPr>
        <w:t> </w:t>
      </w:r>
    </w:p>
    <w:p w:rsidR="00B86ABD" w:rsidRPr="00B86ABD" w:rsidRDefault="00B86ABD" w:rsidP="00B86ABD">
      <w:pPr>
        <w:spacing w:before="15" w:after="15"/>
        <w:jc w:val="center"/>
        <w:rPr>
          <w:rFonts w:ascii="Times New Roman" w:eastAsia="Times New Roman" w:hAnsi="Times New Roman" w:cs="Times New Roman"/>
          <w:b/>
          <w:bCs/>
          <w:color w:val="800000"/>
          <w:sz w:val="28"/>
          <w:szCs w:val="28"/>
          <w:lang w:eastAsia="ru-RU"/>
        </w:rPr>
      </w:pPr>
      <w:r w:rsidRPr="00B86ABD">
        <w:rPr>
          <w:rFonts w:ascii="Times New Roman" w:eastAsia="Times New Roman" w:hAnsi="Times New Roman" w:cs="Times New Roman"/>
          <w:b/>
          <w:bCs/>
          <w:color w:val="800000"/>
          <w:sz w:val="28"/>
          <w:szCs w:val="28"/>
          <w:lang w:eastAsia="ru-RU"/>
        </w:rPr>
        <w:t> Перечень зданий, сооружений, помещений и оборудования,</w:t>
      </w:r>
      <w:r w:rsidRPr="00B86ABD">
        <w:rPr>
          <w:rFonts w:ascii="Times New Roman" w:eastAsia="Times New Roman" w:hAnsi="Times New Roman" w:cs="Times New Roman"/>
          <w:b/>
          <w:bCs/>
          <w:color w:val="800000"/>
          <w:sz w:val="28"/>
          <w:szCs w:val="28"/>
          <w:lang w:eastAsia="ru-RU"/>
        </w:rPr>
        <w:br/>
        <w:t xml:space="preserve">подлежащих защите автоматическими установками пожаротушения и автоматической пожарной сигнализацией </w:t>
      </w:r>
    </w:p>
    <w:p w:rsidR="00B86ABD" w:rsidRPr="00B86ABD" w:rsidRDefault="00B86ABD" w:rsidP="00B86ABD">
      <w:pPr>
        <w:spacing w:before="15" w:after="15"/>
        <w:jc w:val="center"/>
        <w:rPr>
          <w:rFonts w:ascii="Times New Roman" w:eastAsia="Times New Roman" w:hAnsi="Times New Roman" w:cs="Times New Roman"/>
          <w:b/>
          <w:bCs/>
          <w:color w:val="800000"/>
          <w:sz w:val="28"/>
          <w:szCs w:val="28"/>
          <w:lang w:val="en-US" w:eastAsia="ru-RU"/>
        </w:rPr>
      </w:pPr>
      <w:r w:rsidRPr="00B86ABD">
        <w:rPr>
          <w:rFonts w:ascii="Times New Roman" w:eastAsia="Times New Roman" w:hAnsi="Times New Roman" w:cs="Times New Roman"/>
          <w:b/>
          <w:bCs/>
          <w:color w:val="800000"/>
          <w:sz w:val="28"/>
          <w:szCs w:val="28"/>
          <w:lang w:eastAsia="ru-RU"/>
        </w:rPr>
        <w:t> НПБ</w:t>
      </w:r>
      <w:r w:rsidRPr="00B86ABD">
        <w:rPr>
          <w:rFonts w:ascii="Times New Roman" w:eastAsia="Times New Roman" w:hAnsi="Times New Roman" w:cs="Times New Roman"/>
          <w:b/>
          <w:bCs/>
          <w:color w:val="800000"/>
          <w:sz w:val="28"/>
          <w:szCs w:val="28"/>
          <w:lang w:val="en-US" w:eastAsia="ru-RU"/>
        </w:rPr>
        <w:t xml:space="preserve"> 110-03 </w:t>
      </w:r>
    </w:p>
    <w:p w:rsidR="00B86ABD" w:rsidRPr="00B86ABD" w:rsidRDefault="00B86ABD" w:rsidP="00B86ABD">
      <w:pPr>
        <w:spacing w:before="15" w:after="15"/>
        <w:jc w:val="center"/>
        <w:rPr>
          <w:rFonts w:ascii="Times New Roman" w:eastAsia="Times New Roman" w:hAnsi="Times New Roman" w:cs="Times New Roman"/>
          <w:b/>
          <w:bCs/>
          <w:color w:val="800000"/>
          <w:sz w:val="28"/>
          <w:szCs w:val="28"/>
          <w:lang w:val="en-US" w:eastAsia="ru-RU"/>
        </w:rPr>
      </w:pPr>
      <w:r w:rsidRPr="00B86ABD">
        <w:rPr>
          <w:rFonts w:ascii="Times New Roman" w:eastAsia="Times New Roman" w:hAnsi="Times New Roman" w:cs="Times New Roman"/>
          <w:b/>
          <w:bCs/>
          <w:color w:val="800000"/>
          <w:sz w:val="28"/>
          <w:szCs w:val="28"/>
          <w:lang w:val="en-US" w:eastAsia="ru-RU"/>
        </w:rPr>
        <w:t> </w:t>
      </w:r>
    </w:p>
    <w:p w:rsidR="00B86ABD" w:rsidRPr="00B86ABD" w:rsidRDefault="00B86ABD" w:rsidP="00B86ABD">
      <w:pPr>
        <w:spacing w:before="100" w:beforeAutospacing="1" w:after="100" w:afterAutospacing="1"/>
        <w:jc w:val="center"/>
        <w:rPr>
          <w:rFonts w:ascii="Arial" w:eastAsia="Times New Roman" w:hAnsi="Arial" w:cs="Arial"/>
          <w:color w:val="000000"/>
          <w:sz w:val="20"/>
          <w:szCs w:val="20"/>
          <w:lang w:val="en-US" w:eastAsia="ru-RU"/>
        </w:rPr>
      </w:pPr>
      <w:r w:rsidRPr="00B86ABD">
        <w:rPr>
          <w:rFonts w:ascii="Arial" w:eastAsia="Times New Roman" w:hAnsi="Arial" w:cs="Arial"/>
          <w:b/>
          <w:bCs/>
          <w:color w:val="000000"/>
          <w:sz w:val="20"/>
          <w:szCs w:val="20"/>
          <w:lang w:val="en-US" w:eastAsia="ru-RU"/>
        </w:rPr>
        <w:t> </w:t>
      </w:r>
      <w:r w:rsidRPr="00B86ABD">
        <w:rPr>
          <w:rFonts w:ascii="Arial" w:eastAsia="Times New Roman" w:hAnsi="Arial" w:cs="Arial"/>
          <w:color w:val="000000"/>
          <w:sz w:val="20"/>
          <w:szCs w:val="20"/>
          <w:lang w:val="en-US" w:eastAsia="ru-RU"/>
        </w:rPr>
        <w:t xml:space="preserve"> The list of buildings, constructions, Rooms and equipment subject to protection by automatic extinguishing and fire detection installation </w:t>
      </w:r>
    </w:p>
    <w:p w:rsidR="00B86ABD" w:rsidRPr="00B86ABD" w:rsidRDefault="00B86ABD" w:rsidP="00B86ABD">
      <w:pPr>
        <w:spacing w:before="100" w:beforeAutospacing="1" w:after="100" w:afterAutospacing="1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86ABD">
        <w:rPr>
          <w:rFonts w:ascii="Arial" w:eastAsia="Times New Roman" w:hAnsi="Arial" w:cs="Arial"/>
          <w:color w:val="000000"/>
          <w:sz w:val="20"/>
          <w:szCs w:val="20"/>
          <w:lang w:val="en-US" w:eastAsia="ru-RU"/>
        </w:rPr>
        <w:t> </w:t>
      </w:r>
      <w:r w:rsidRPr="00B86AB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МОСКВА 2003</w:t>
      </w:r>
    </w:p>
    <w:p w:rsidR="00B86ABD" w:rsidRPr="00B86ABD" w:rsidRDefault="00B86ABD" w:rsidP="00B86ABD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86AB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  <w:proofErr w:type="gramStart"/>
      <w:r w:rsidRPr="00B86AB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Разработаны Главным управлением Государственной противопожарной службы Министерства Российской Федерации по делам гражданской обороны, чрезвычайным ситуациям и ликвидации последствий стихийных бедствий (ГУГПС МЧС России) и Федеральным государственным учреждением “Всероссийский ордена “Знак Почета” научно-исследовательский институт противопожарной обороны Министерства Российской Федерации по делам гражданской обороны, чрезвычайным ситуациям и ликвидации последствий стихийных бедствий” (ФГУ ВНИИПО МЧС России). </w:t>
      </w:r>
      <w:proofErr w:type="gramEnd"/>
    </w:p>
    <w:p w:rsidR="00B86ABD" w:rsidRPr="00B86ABD" w:rsidRDefault="00B86ABD" w:rsidP="00B86ABD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86AB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Внесены и подготовлены к утверждению нормативно-техническим отделом Главного управления Государственной противопожарной службы (ГУГПС МЧС России).</w:t>
      </w:r>
    </w:p>
    <w:p w:rsidR="00B86ABD" w:rsidRPr="00B86ABD" w:rsidRDefault="00B86ABD" w:rsidP="00B86ABD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86AB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Утверждены приказом МЧС России от 18 июня 2003 г. № 315.</w:t>
      </w:r>
    </w:p>
    <w:p w:rsidR="00B86ABD" w:rsidRPr="00B86ABD" w:rsidRDefault="00B86ABD" w:rsidP="00B86ABD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86AB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Дата введения в действие 30 июня 2003 г. </w:t>
      </w:r>
    </w:p>
    <w:p w:rsidR="00B86ABD" w:rsidRPr="00B86ABD" w:rsidRDefault="00B86ABD" w:rsidP="00B86ABD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86AB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Взамен НПБ 110-99*.</w:t>
      </w:r>
    </w:p>
    <w:p w:rsidR="00B86ABD" w:rsidRPr="00B86ABD" w:rsidRDefault="00B86ABD" w:rsidP="00B86ABD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86AB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    Настоящий нормативный документ не может быть полностью или частично воспроизведен, тиражирован и распространен в качестве официального издания без разрешения ГУГПС и ФГУ ВНИИПО МЧС России. </w:t>
      </w:r>
      <w:r w:rsidRPr="00B86ABD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  </w:t>
      </w:r>
      <w:r w:rsidRPr="00B86AB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</w:p>
    <w:p w:rsidR="00B86ABD" w:rsidRPr="00B86ABD" w:rsidRDefault="00B86ABD" w:rsidP="00B86ABD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86AB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B86ABD" w:rsidRPr="00B86ABD" w:rsidRDefault="00B86ABD" w:rsidP="00B86ABD">
      <w:pPr>
        <w:spacing w:before="100" w:beforeAutospacing="1" w:after="100" w:afterAutospacing="1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86ABD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 ОБЩИЕ ПОЛОЖЕНИЯ </w:t>
      </w:r>
      <w:r w:rsidRPr="00B86AB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</w:p>
    <w:p w:rsidR="00B86ABD" w:rsidRPr="00B86ABD" w:rsidRDefault="00B86ABD" w:rsidP="00B86ABD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86AB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1. Настоящие нормы устанавливают основные требования пожарной безопасности, регламентирующие защиту зданий, сооружений, помещений и оборудования на всех этапах их создания и эксплуатации автоматическими установками пожаротушения (АУПТ) и автоматическими установками пожарной сигнализации (АУПС)</w:t>
      </w:r>
      <w:r w:rsidRPr="00B86ABD">
        <w:rPr>
          <w:rFonts w:ascii="Arial" w:eastAsia="Times New Roman" w:hAnsi="Arial" w:cs="Arial"/>
          <w:color w:val="000000"/>
          <w:sz w:val="20"/>
          <w:szCs w:val="20"/>
          <w:vertAlign w:val="superscript"/>
          <w:lang w:eastAsia="ru-RU"/>
        </w:rPr>
        <w:t>1</w:t>
      </w:r>
      <w:r w:rsidRPr="00B86AB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.</w:t>
      </w:r>
    </w:p>
    <w:p w:rsidR="00B86ABD" w:rsidRPr="00B86ABD" w:rsidRDefault="00B86ABD" w:rsidP="00B86ABD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86AB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  <w:r w:rsidRPr="00B86ABD">
        <w:rPr>
          <w:rFonts w:ascii="Arial" w:eastAsia="Times New Roman" w:hAnsi="Arial" w:cs="Arial"/>
          <w:color w:val="000000"/>
          <w:sz w:val="20"/>
          <w:szCs w:val="20"/>
          <w:vertAlign w:val="superscript"/>
          <w:lang w:eastAsia="ru-RU"/>
        </w:rPr>
        <w:t xml:space="preserve"> </w:t>
      </w:r>
      <w:r w:rsidRPr="00B86AB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Далее – автоматические установки. </w:t>
      </w:r>
    </w:p>
    <w:p w:rsidR="00B86ABD" w:rsidRPr="00B86ABD" w:rsidRDefault="00B86ABD" w:rsidP="00B86ABD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86AB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Объекты, не относящиеся к государственному и муниципальному имуществу, перечисленные в пунктах 1, 2, 7 таблицы 1, пунктах 1</w:t>
      </w:r>
      <w:r w:rsidRPr="00B86ABD">
        <w:rPr>
          <w:rFonts w:ascii="Symbol" w:eastAsia="Times New Roman" w:hAnsi="Symbol" w:cs="Arial"/>
          <w:color w:val="000000"/>
          <w:sz w:val="20"/>
          <w:szCs w:val="20"/>
          <w:lang w:eastAsia="ru-RU"/>
        </w:rPr>
        <w:t></w:t>
      </w:r>
      <w:r w:rsidRPr="00B86AB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8 таблицы 2, пунктах 1</w:t>
      </w:r>
      <w:r w:rsidRPr="00B86ABD">
        <w:rPr>
          <w:rFonts w:ascii="Symbol" w:eastAsia="Times New Roman" w:hAnsi="Symbol" w:cs="Arial"/>
          <w:color w:val="000000"/>
          <w:sz w:val="20"/>
          <w:szCs w:val="20"/>
          <w:lang w:eastAsia="ru-RU"/>
        </w:rPr>
        <w:t></w:t>
      </w:r>
      <w:r w:rsidRPr="00B86AB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15, 16.1, 17.1, 19, 20 таблицы 3, пунктах 1</w:t>
      </w:r>
      <w:r w:rsidRPr="00B86ABD">
        <w:rPr>
          <w:rFonts w:ascii="Symbol" w:eastAsia="Times New Roman" w:hAnsi="Symbol" w:cs="Arial"/>
          <w:color w:val="000000"/>
          <w:sz w:val="20"/>
          <w:szCs w:val="20"/>
          <w:lang w:eastAsia="ru-RU"/>
        </w:rPr>
        <w:t></w:t>
      </w:r>
      <w:r w:rsidRPr="00B86AB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7 таблицы 4 приложения настоящих норм допускается оборудовать АУПС без устройства АУПТ. При этом на указанных объектах должна быть обеспечена безопасность находящихся в них людей и устранена угроза пожара и его опасных факторов для других лиц, что должно быть подтверждено соответствующими расчетами, а применяемое в АУПС оборудование должно отвечать современным требованиям. </w:t>
      </w:r>
    </w:p>
    <w:p w:rsidR="00B86ABD" w:rsidRPr="00B86ABD" w:rsidRDefault="00B86ABD" w:rsidP="00B86ABD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86ABD">
        <w:rPr>
          <w:rFonts w:ascii="Arial" w:eastAsia="Times New Roman" w:hAnsi="Arial" w:cs="Arial"/>
          <w:color w:val="000000"/>
          <w:sz w:val="20"/>
          <w:szCs w:val="20"/>
          <w:lang w:eastAsia="ru-RU"/>
        </w:rPr>
        <w:lastRenderedPageBreak/>
        <w:t>На объектах, перечисленных выше, взамен АУПТ также могут предусматриваться автономные установки пожаротушения для защиты отдельных пожароопасных участков. </w:t>
      </w:r>
    </w:p>
    <w:p w:rsidR="00B86ABD" w:rsidRPr="00B86ABD" w:rsidRDefault="00B86ABD" w:rsidP="00B86ABD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86AB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Наряду с настоящими нормами необходимо руководствоваться ведомственными (отраслевыми) и территориальными перечнями, а также другими нормативными документами, утвержденными в установленном порядке. </w:t>
      </w:r>
    </w:p>
    <w:p w:rsidR="00B86ABD" w:rsidRPr="00B86ABD" w:rsidRDefault="00B86ABD" w:rsidP="00B86ABD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86AB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Ведомственные (отраслевые), территориальные перечни, а также другие нормативные документы, определяющие необходимость защиты зданий, сооружений, помещений и оборудования АУПТ и АУПС, разработанные в соответствии с требованиями настоящих норм, согласованию не подлежат. </w:t>
      </w:r>
    </w:p>
    <w:p w:rsidR="00B86ABD" w:rsidRPr="00B86ABD" w:rsidRDefault="00B86ABD" w:rsidP="00B86ABD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86AB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2. Под зданием в настоящих нормах понимается здание в целом или часть здания (пожарные отсеки), выделенные противопожарными стенами 1 типа. </w:t>
      </w:r>
    </w:p>
    <w:p w:rsidR="00B86ABD" w:rsidRPr="00B86ABD" w:rsidRDefault="00B86ABD" w:rsidP="00B86ABD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86AB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Под нормативным показателем площади помещения в разделе III обязательного приложения настоящих норм понимается часть здания или сооружения, выделенная ограждающими конструкциями, отнесенными к противопожарным преградам с пределом огнестойкости не менее 0,75 часа (перегородки EI 45, стены и перекрытия REI 45). </w:t>
      </w:r>
    </w:p>
    <w:p w:rsidR="00B86ABD" w:rsidRPr="00B86ABD" w:rsidRDefault="00B86ABD" w:rsidP="00B86ABD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86AB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3. Тип автоматической установки тушения, способ тушения, вид огнетушащих средств, тип оборудования установок пожарной автоматики определяется организацией-проектировщиком в зависимости от технологических, конструктивных и объемно-планировочных особенностей защищаемых зданий и помещений с учетом требований действующих нормативно-технических документов.   Здания и помещения, перечисленные в пунктах 3, 6.1, 7, 9, 10, 13 таблицы 1, пунктах 14</w:t>
      </w:r>
      <w:r w:rsidRPr="00B86ABD">
        <w:rPr>
          <w:rFonts w:ascii="Symbol" w:eastAsia="Times New Roman" w:hAnsi="Symbol" w:cs="Arial"/>
          <w:color w:val="000000"/>
          <w:sz w:val="20"/>
          <w:szCs w:val="20"/>
          <w:lang w:eastAsia="ru-RU"/>
        </w:rPr>
        <w:t></w:t>
      </w:r>
      <w:r w:rsidRPr="00B86AB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19, 26</w:t>
      </w:r>
      <w:r w:rsidRPr="00B86ABD">
        <w:rPr>
          <w:rFonts w:ascii="Symbol" w:eastAsia="Times New Roman" w:hAnsi="Symbol" w:cs="Arial"/>
          <w:color w:val="000000"/>
          <w:sz w:val="20"/>
          <w:szCs w:val="20"/>
          <w:lang w:eastAsia="ru-RU"/>
        </w:rPr>
        <w:t></w:t>
      </w:r>
      <w:r w:rsidRPr="00B86AB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29, 32</w:t>
      </w:r>
      <w:r w:rsidRPr="00B86ABD">
        <w:rPr>
          <w:rFonts w:ascii="Symbol" w:eastAsia="Times New Roman" w:hAnsi="Symbol" w:cs="Arial"/>
          <w:color w:val="000000"/>
          <w:sz w:val="20"/>
          <w:szCs w:val="20"/>
          <w:lang w:eastAsia="ru-RU"/>
        </w:rPr>
        <w:t></w:t>
      </w:r>
      <w:r w:rsidRPr="00B86AB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38 таблицы 3 при применении автоматической пожарной сигнализации следует оборудовать дымовыми пожарными </w:t>
      </w:r>
      <w:proofErr w:type="spellStart"/>
      <w:r w:rsidRPr="00B86AB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извещателями</w:t>
      </w:r>
      <w:proofErr w:type="spellEnd"/>
      <w:r w:rsidRPr="00B86AB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. </w:t>
      </w:r>
    </w:p>
    <w:p w:rsidR="00B86ABD" w:rsidRPr="00B86ABD" w:rsidRDefault="00B86ABD" w:rsidP="00B86ABD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86AB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4. В зданиях и сооружениях следует защищать соответствующими автоматическими установками все помещения независимо от площади, кроме помещений:</w:t>
      </w:r>
    </w:p>
    <w:p w:rsidR="00B86ABD" w:rsidRPr="00B86ABD" w:rsidRDefault="00B86ABD" w:rsidP="00B86ABD">
      <w:pPr>
        <w:spacing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86AB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 мокрыми процессами (душевые, санузлы, охлаждаемые камеры, помещения мойки и т. п.);</w:t>
      </w:r>
    </w:p>
    <w:p w:rsidR="00B86ABD" w:rsidRPr="00B86ABD" w:rsidRDefault="00B86ABD" w:rsidP="00B86ABD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proofErr w:type="spellStart"/>
      <w:r w:rsidRPr="00B86AB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венткамер</w:t>
      </w:r>
      <w:proofErr w:type="spellEnd"/>
      <w:r w:rsidRPr="00B86AB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(приточных, а также вытяжных, не обслуживающих производственные помещения категории</w:t>
      </w:r>
      <w:proofErr w:type="gramStart"/>
      <w:r w:rsidRPr="00B86AB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А</w:t>
      </w:r>
      <w:proofErr w:type="gramEnd"/>
      <w:r w:rsidRPr="00B86AB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или Б), насосных водоснабжения, бойлерных и др. помещений для инженерного оборудования здания, в которых отсутствуют горючие материалы;</w:t>
      </w:r>
    </w:p>
    <w:p w:rsidR="00B86ABD" w:rsidRPr="00B86ABD" w:rsidRDefault="00B86ABD" w:rsidP="00B86ABD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86AB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категории В4 и</w:t>
      </w:r>
      <w:proofErr w:type="gramStart"/>
      <w:r w:rsidRPr="00B86AB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Д</w:t>
      </w:r>
      <w:proofErr w:type="gramEnd"/>
      <w:r w:rsidRPr="00B86AB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по пожарной опасности; </w:t>
      </w:r>
    </w:p>
    <w:p w:rsidR="00B86ABD" w:rsidRPr="00B86ABD" w:rsidRDefault="00B86ABD" w:rsidP="00B86ABD">
      <w:pPr>
        <w:spacing w:before="100" w:beforeAutospacing="1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86AB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лестничных клеток.</w:t>
      </w:r>
    </w:p>
    <w:p w:rsidR="00B86ABD" w:rsidRPr="00B86ABD" w:rsidRDefault="00B86ABD" w:rsidP="00B86ABD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86AB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5. Здания, сооружения и помещения, подлежащие оборудованию установками охранной и пожарной сигнализации, рекомендуется защищать охранно-пожарной сигнализацией. </w:t>
      </w:r>
    </w:p>
    <w:p w:rsidR="00B86ABD" w:rsidRPr="00B86ABD" w:rsidRDefault="00B86ABD" w:rsidP="00B86ABD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86AB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6. Если площадь помещений, подлежащих оборудованию системами автоматического пожаротушения, составляет 40 % и более от общей площади этажей здания, сооружения, следует предусматривать оборудование здания, сооружения в целом системами автоматического пожаротушения за исключением помещений, перечисленных в п. 4. </w:t>
      </w:r>
    </w:p>
    <w:p w:rsidR="00B86ABD" w:rsidRPr="00B86ABD" w:rsidRDefault="00B86ABD" w:rsidP="00B86ABD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86AB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7. АУПТ и АУПС должны проектироваться в соответствии с нормативными документами, утвержденными в установленном порядке. </w:t>
      </w:r>
    </w:p>
    <w:p w:rsidR="00B86ABD" w:rsidRPr="00B86ABD" w:rsidRDefault="00B86ABD" w:rsidP="00B86ABD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86AB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8. Категория зданий и помещений определяется в соответствии с нормативными документами в области пожарной безопасности, утвержденными в установленном порядке. </w:t>
      </w:r>
    </w:p>
    <w:p w:rsidR="00B86ABD" w:rsidRPr="00B86ABD" w:rsidRDefault="00B86ABD" w:rsidP="00B86ABD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86AB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9. Защита наружных технологических установок с обращением взрывопожароопасных веществ и материалов автоматическими установками тушения и обнаружения пожара определяется ведомственными нормативными документами, согласованными и утвержденными в установленном порядке.     </w:t>
      </w:r>
    </w:p>
    <w:p w:rsidR="00B86ABD" w:rsidRPr="00B86ABD" w:rsidRDefault="00B86ABD" w:rsidP="00B86ABD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86AB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10. Здания, сооружения и помещения, не вошедшие в настоящий Перечень, оборудуются установками пожарной автоматики в соответствии с требованиями отраслевых (ведомственных) нормативных документов, утвержденных в установленном порядке. </w:t>
      </w:r>
    </w:p>
    <w:p w:rsidR="00B86ABD" w:rsidRPr="00B86ABD" w:rsidRDefault="00B86ABD" w:rsidP="00B86ABD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86ABD">
        <w:rPr>
          <w:rFonts w:ascii="Arial" w:eastAsia="Times New Roman" w:hAnsi="Arial" w:cs="Arial"/>
          <w:color w:val="000000"/>
          <w:sz w:val="20"/>
          <w:szCs w:val="20"/>
          <w:lang w:eastAsia="ru-RU"/>
        </w:rPr>
        <w:lastRenderedPageBreak/>
        <w:t>11. Согласование проектов систем автоматической противопожарной защиты зданий, сооружений, помещений и оборудования в подразделениях Государственной противопожарной службы проводится в соответствии с нормативными документами по пожарной безопасности и инструкцией по организации и осуществлению государственного пожарного надзора. </w:t>
      </w:r>
    </w:p>
    <w:p w:rsidR="00B86ABD" w:rsidRPr="00B86ABD" w:rsidRDefault="00B86ABD" w:rsidP="00B86ABD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86AB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12. Перечень зданий и помещений, которые целесообразно оборудовать пожарной автоматикой с передачей сигнала о  пожаре по </w:t>
      </w:r>
      <w:proofErr w:type="spellStart"/>
      <w:r w:rsidRPr="00B86AB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радиотелекоммуникационной</w:t>
      </w:r>
      <w:proofErr w:type="spellEnd"/>
      <w:r w:rsidRPr="00B86AB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системе на центральный узел связи “01” Государственной противопожарной службы, определяется соответствующим территориальным подразделением ГПС МЧС России, исходя из их технических возможностей. </w:t>
      </w:r>
    </w:p>
    <w:p w:rsidR="00B86ABD" w:rsidRPr="00B86ABD" w:rsidRDefault="00B86ABD" w:rsidP="00B86ABD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86AB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13. В разделе III обязательного приложения при определении вида автоматической установки (АУПТ или АУПС) для защиты помещений категории В3 по пожарной опасности нормативный показатель (площадь помещения) допускается увеличивать на 20 %. </w:t>
      </w:r>
    </w:p>
    <w:p w:rsidR="00B86ABD" w:rsidRPr="00B86ABD" w:rsidRDefault="00B86ABD" w:rsidP="00B86ABD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86AB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14. Перечень зданий, сооружений, помещений и оборудования, подлежащих защите автоматическими установками пожаротушения и автоматической пожарной сигнализацией, представлен в обязательном приложении.   </w:t>
      </w:r>
    </w:p>
    <w:p w:rsidR="00B86ABD" w:rsidRPr="00B86ABD" w:rsidRDefault="00B86ABD" w:rsidP="00B86ABD">
      <w:pPr>
        <w:spacing w:before="100" w:beforeAutospacing="1" w:after="100" w:afterAutospacing="1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86ABD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>Приложение </w:t>
      </w:r>
      <w:r w:rsidRPr="00B86ABD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br/>
        <w:t>Обязательное </w:t>
      </w:r>
    </w:p>
    <w:p w:rsidR="00B86ABD" w:rsidRPr="00B86ABD" w:rsidRDefault="00B86ABD" w:rsidP="00B86ABD">
      <w:pPr>
        <w:spacing w:before="100" w:beforeAutospacing="1" w:after="100" w:afterAutospacing="1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86ABD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I. ЗДАНИЯ </w:t>
      </w:r>
    </w:p>
    <w:p w:rsidR="00B86ABD" w:rsidRPr="00B86ABD" w:rsidRDefault="00B86ABD" w:rsidP="00B86ABD">
      <w:pPr>
        <w:spacing w:before="100" w:beforeAutospacing="1" w:after="100" w:afterAutospacing="1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86ABD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>Таблица 1</w:t>
      </w:r>
      <w:r w:rsidRPr="00B86AB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</w:p>
    <w:tbl>
      <w:tblPr>
        <w:tblW w:w="5000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284"/>
        <w:gridCol w:w="110"/>
        <w:gridCol w:w="110"/>
        <w:gridCol w:w="6074"/>
        <w:gridCol w:w="1814"/>
        <w:gridCol w:w="1707"/>
      </w:tblGrid>
      <w:tr w:rsidR="00B86ABD" w:rsidRPr="00B86ABD">
        <w:trPr>
          <w:tblCellSpacing w:w="7" w:type="dxa"/>
        </w:trPr>
        <w:tc>
          <w:tcPr>
            <w:tcW w:w="0" w:type="auto"/>
            <w:gridSpan w:val="4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Объект защиты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АУПТ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АУПС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4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Нормативный показатель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 Здания складов категории</w:t>
            </w:r>
            <w:proofErr w:type="gramStart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В</w:t>
            </w:r>
            <w:proofErr w:type="gramEnd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по пожарной опасности с хранением на стеллажах высотой 5,5 м и более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Независимо от площади и этажности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2. Здания складов категории</w:t>
            </w:r>
            <w:proofErr w:type="gramStart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В</w:t>
            </w:r>
            <w:proofErr w:type="gramEnd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по пожарной опасности высотой два этажа и более (кроме указанных в п. 1)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Независимо от площади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3. Здания архивов, уникальных изданий, отчетов, рукописей и другой документации особой ценности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То же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4. Здания и сооружения для автомобилей: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4.1. Для хранения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 СНиП 21-02-99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4.2. Для технического обслуживания и ремонта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B86ABD" w:rsidRPr="00B86ABD" w:rsidRDefault="00B86ABD" w:rsidP="00B86AB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 ВСН 01-89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5. Здания высотой более 30 м (за исключением жилых зданий и производственных зданий категории Г и</w:t>
            </w:r>
            <w:proofErr w:type="gramStart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Д</w:t>
            </w:r>
            <w:proofErr w:type="gramEnd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по пожарной опасности)*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Независимо от площади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6. Жилые здания: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6.1. Общежития, специализированные жилые дома для престарелых и инвалидов**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Независимо от площади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6.2. Жилые здания высотой более 28 м***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То же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7. Одноэтажные здания из легких металлических конструкций с полимерными горючими утеплителями: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7.1. Общественного назначения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800 м</w:t>
            </w:r>
            <w:proofErr w:type="gramStart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**** и более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Менее 800 м</w:t>
            </w:r>
            <w:proofErr w:type="gramStart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7.2. Административно-бытового назначения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1200 м</w:t>
            </w:r>
            <w:proofErr w:type="gramStart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ru-RU"/>
              </w:rPr>
              <w:t xml:space="preserve"> </w:t>
            </w: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 более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Менее 1200 м</w:t>
            </w:r>
            <w:proofErr w:type="gramStart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8. Здания и сооружения по переработке и хранению зерна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Независимо от площади и этажности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9. Здания общественного и административно-бытового назначения </w:t>
            </w: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 xml:space="preserve">(кроме </w:t>
            </w:r>
            <w:proofErr w:type="gramStart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указанных</w:t>
            </w:r>
            <w:proofErr w:type="gramEnd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в </w:t>
            </w:r>
            <w:proofErr w:type="spellStart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пп</w:t>
            </w:r>
            <w:proofErr w:type="spellEnd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. 11, 13)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То же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10. Здания предприятий торговли (за исключением помещений, указанных в п. 4 настоящих норм, и помещений хранения и подготовки к продаже мяса, рыбы, фруктов и овощей (в негорючей упаковке), металлической посуды, негорючих строительных материалов):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10.1. </w:t>
            </w:r>
            <w:proofErr w:type="gramStart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Одноэтажные</w:t>
            </w:r>
            <w:proofErr w:type="gramEnd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(за исключением п. 13):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10.1.1. </w:t>
            </w:r>
            <w:proofErr w:type="gramStart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При размещении торгового зала и подсобных помещений в цокольном или подвальном этажах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200 м</w:t>
            </w:r>
            <w:proofErr w:type="gramStart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и более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Менее 200 м</w:t>
            </w:r>
            <w:proofErr w:type="gramStart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10.1.2. При размещении торгового зала и подсобных помещений в наземной части здания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При площади здания 3500 м</w:t>
            </w:r>
            <w:proofErr w:type="gramStart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и более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При площади здания менее 3500 м</w:t>
            </w:r>
            <w:proofErr w:type="gramStart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10.2. Двухэтажные: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10.2.1. Общей торговой площадью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3500 м</w:t>
            </w:r>
            <w:proofErr w:type="gramStart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ru-RU"/>
              </w:rPr>
              <w:t xml:space="preserve"> </w:t>
            </w: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 более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Менее 3500 м</w:t>
            </w:r>
            <w:proofErr w:type="gramStart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10.2.2. </w:t>
            </w:r>
            <w:proofErr w:type="gramStart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При размещении торгового зала в цокольном или подвальном этажах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Независимо от величины торговой площади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10.3. Трехэтажные и более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То же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10.4. Здания специализированных предприятий торговли по продаже легковоспламеняющихся и горючих жидкостей (за исключением расфасованного товара в таре емкостью не более 20 л)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Независимо от площади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11. Автозаправочные станции (в том числе контейнерного типа), а также палатки, магазины и киоски, относящиеся к ним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 НПБ 111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12. Культовые здания и комплексы (производственные, складские и жилые здания комплексов оборудуются по требованиям соответствующих пунктов настоящих норм)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Независимо от площади и этажности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13. Здания выставочных павильонов: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13.1. </w:t>
            </w:r>
            <w:proofErr w:type="gramStart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Одноэтажные</w:t>
            </w:r>
            <w:proofErr w:type="gramEnd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(за исключением п. 12)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1000 м</w:t>
            </w:r>
            <w:proofErr w:type="gramStart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и более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Менее 1000 м</w:t>
            </w:r>
            <w:proofErr w:type="gramStart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13.2. Двухэтажные и более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Независимо от площади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:rsidR="00B86ABD" w:rsidRPr="00B86ABD" w:rsidRDefault="00B86ABD" w:rsidP="00B86ABD">
      <w:pPr>
        <w:spacing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86AB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Примечания: </w:t>
      </w:r>
      <w:r w:rsidRPr="00B86ABD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* Высота здания определяется в соответствии с требованиями СНиП 21-01-97 “Пожарная безопасность зданий и сооружений”. </w:t>
      </w:r>
    </w:p>
    <w:p w:rsidR="00B86ABD" w:rsidRPr="00B86ABD" w:rsidRDefault="00B86ABD" w:rsidP="00B86ABD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86AB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** Наряду с АУПС помещения квартир и общежитий следует оборудовать автономными оптико-электронными дымовыми пожарными </w:t>
      </w:r>
      <w:proofErr w:type="spellStart"/>
      <w:r w:rsidRPr="00B86AB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извещателями</w:t>
      </w:r>
      <w:proofErr w:type="spellEnd"/>
      <w:r w:rsidRPr="00B86AB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согласно СНиП 2.08.01. </w:t>
      </w:r>
    </w:p>
    <w:p w:rsidR="00B86ABD" w:rsidRPr="00B86ABD" w:rsidRDefault="00B86ABD" w:rsidP="00B86ABD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86AB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*** Тепловые пожарные </w:t>
      </w:r>
      <w:proofErr w:type="spellStart"/>
      <w:r w:rsidRPr="00B86AB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извещатели</w:t>
      </w:r>
      <w:proofErr w:type="spellEnd"/>
      <w:r w:rsidRPr="00B86AB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АУПС устанавливаются в прихожих квартир и используются для выполнения требования п. 1.34* СНиП 2.08.01-89*. </w:t>
      </w:r>
    </w:p>
    <w:p w:rsidR="00B86ABD" w:rsidRPr="00B86ABD" w:rsidRDefault="00B86ABD" w:rsidP="00B86ABD">
      <w:pPr>
        <w:spacing w:before="100" w:beforeAutospacing="1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86AB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**** Здесь и далее в таблице 1 указана общая площадь помещений.  </w:t>
      </w:r>
    </w:p>
    <w:p w:rsidR="00B86ABD" w:rsidRPr="00B86ABD" w:rsidRDefault="00B86ABD" w:rsidP="00B86ABD">
      <w:pPr>
        <w:spacing w:before="100" w:beforeAutospacing="1" w:after="100" w:afterAutospacing="1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86AB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  <w:r w:rsidRPr="00B86ABD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 xml:space="preserve"> II. СООРУЖЕНИЯ </w:t>
      </w:r>
    </w:p>
    <w:p w:rsidR="00B86ABD" w:rsidRPr="00B86ABD" w:rsidRDefault="00B86ABD" w:rsidP="00B86ABD">
      <w:pPr>
        <w:spacing w:before="100" w:beforeAutospacing="1" w:after="100" w:afterAutospacing="1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86ABD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>Таблица 2</w:t>
      </w:r>
      <w:r w:rsidRPr="00B86AB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</w:p>
    <w:tbl>
      <w:tblPr>
        <w:tblW w:w="5000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26"/>
        <w:gridCol w:w="6371"/>
        <w:gridCol w:w="1789"/>
        <w:gridCol w:w="1613"/>
      </w:tblGrid>
      <w:tr w:rsidR="00B86ABD" w:rsidRPr="00B86ABD">
        <w:trPr>
          <w:tblCellSpacing w:w="7" w:type="dxa"/>
        </w:trPr>
        <w:tc>
          <w:tcPr>
            <w:tcW w:w="0" w:type="auto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Объект защиты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АУПТ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АУПС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Нормативный показатель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1. Кабельные сооружения* электростанций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Независимо от площади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2. Кабельные сооружения подстанций напряжением, </w:t>
            </w:r>
            <w:proofErr w:type="spellStart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2.1. 500 и выше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То же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2.2. Менее 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Независимо от площади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3. Кабельные сооружения подстанций глубокого ввода напряжением 110 </w:t>
            </w:r>
            <w:proofErr w:type="spellStart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с трансформаторами мощностью: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3.1. 63 МВА и выше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То же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3.2. Менее 63 МВА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То же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4. Кабельные сооружения промышленных и общественных зданий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Более 100 м</w:t>
            </w: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 м</w:t>
            </w: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ru-RU"/>
              </w:rPr>
              <w:t xml:space="preserve">3 </w:t>
            </w: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 менее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5. Комбинированные тоннели производственных и общественных зданий при прокладке в них кабелей и проводов напряжением 220</w:t>
            </w:r>
            <w:proofErr w:type="gramStart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В</w:t>
            </w:r>
            <w:proofErr w:type="gramEnd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и выше, в количестве: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5.1. Объемом более 100 м</w:t>
            </w: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 шт. и более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 5 до 12 шт.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5.2. Объемом 100 м</w:t>
            </w: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ru-RU"/>
              </w:rPr>
              <w:t xml:space="preserve">3 </w:t>
            </w: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 менее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 и более шт.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6. Кабельные тоннели и закрытые полностью галереи (в том числе комбинированные), прокладываемые между промышленными зданиями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50 м</w:t>
            </w: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ru-RU"/>
              </w:rPr>
              <w:t>3</w:t>
            </w: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и более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7. Городские кабельные коллекторы и тоннели (в том числе комбинированные)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Независимо от площади и объема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8. Кабельные сооружения при прокладке в них маслонаполненных кабелей в металлических трубах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Независимо от площади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9. Емкостные сооружения (резервуары) для наземного хранения легковоспламеняющихся и горючих жидкостей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 СНиП 2.11.03-93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10. Закрытые галереи, эстакады для транспортирования лесоматериалов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Независимо от длины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11. Пространства за подвесными потолками при прокладке в них воздуховодов, трубопроводов с изоляцией, выполненной из материалов группы горючести Г1-Г4, а также кабелей (проводов), не распространяющих горение (НГ) и имеющих код пожарной опасности ПРГП</w:t>
            </w:r>
            <w:proofErr w:type="gramStart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  <w:proofErr w:type="gramEnd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(по НПБ 248), в том числе при их совместной прокладке*: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11.1. Воздуховодов, трубопроводов или кабелей (проводов),</w:t>
            </w: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>в том числе при их совместной прокладке, с объемом горючей массы кабелей (проводов)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 и более литров на метр кабельной линии (КЛ)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11.2. Кабелей (проводов) типа НГ с общим объемом горючей массы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 1,5 до 7 л на 1 метр КЛ</w:t>
            </w:r>
          </w:p>
        </w:tc>
      </w:tr>
    </w:tbl>
    <w:p w:rsidR="00B86ABD" w:rsidRPr="00B86ABD" w:rsidRDefault="00B86ABD" w:rsidP="00B86ABD">
      <w:pPr>
        <w:spacing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86AB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Примечания: </w:t>
      </w:r>
      <w:r w:rsidRPr="00B86ABD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 xml:space="preserve">* Под кабельными сооружениями в настоящих нормах понимаются тоннели, каналы, подвалы, шахты, этажи, двойные полы, галереи, камеры, используемые для прокладки </w:t>
      </w:r>
      <w:proofErr w:type="spellStart"/>
      <w:r w:rsidRPr="00B86AB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электрокабелей</w:t>
      </w:r>
      <w:proofErr w:type="spellEnd"/>
      <w:r w:rsidRPr="00B86AB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(в том числе совместно с другими коммуникациями). </w:t>
      </w:r>
    </w:p>
    <w:p w:rsidR="00B86ABD" w:rsidRPr="00B86ABD" w:rsidRDefault="00B86ABD" w:rsidP="00B86ABD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86AB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*1. Кабельные сооружения, пространства за подвесными потолками</w:t>
      </w:r>
      <w:r w:rsidRPr="00B86ABD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 xml:space="preserve">и под двойными полами автоматическими установками не оборудуются (за исключением </w:t>
      </w:r>
      <w:proofErr w:type="spellStart"/>
      <w:r w:rsidRPr="00B86AB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пп</w:t>
      </w:r>
      <w:proofErr w:type="spellEnd"/>
      <w:r w:rsidRPr="00B86AB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. 1</w:t>
      </w:r>
      <w:r w:rsidRPr="00B86ABD">
        <w:rPr>
          <w:rFonts w:ascii="Symbol" w:eastAsia="Times New Roman" w:hAnsi="Symbol" w:cs="Arial"/>
          <w:color w:val="000000"/>
          <w:sz w:val="20"/>
          <w:szCs w:val="20"/>
          <w:lang w:eastAsia="ru-RU"/>
        </w:rPr>
        <w:t></w:t>
      </w:r>
      <w:r w:rsidRPr="00B86AB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3):</w:t>
      </w:r>
    </w:p>
    <w:p w:rsidR="00B86ABD" w:rsidRPr="00B86ABD" w:rsidRDefault="00B86ABD" w:rsidP="00B86ABD">
      <w:pPr>
        <w:spacing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86AB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 а) при прокладке кабелей (проводов) в стальных </w:t>
      </w:r>
      <w:proofErr w:type="spellStart"/>
      <w:r w:rsidRPr="00B86AB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водогазопроводных</w:t>
      </w:r>
      <w:proofErr w:type="spellEnd"/>
      <w:r w:rsidRPr="00B86AB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трубах или стальных сплошных коробах с открываемыми сплошными крышками;   </w:t>
      </w:r>
    </w:p>
    <w:p w:rsidR="00B86ABD" w:rsidRPr="00B86ABD" w:rsidRDefault="00B86ABD" w:rsidP="00B86ABD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86ABD">
        <w:rPr>
          <w:rFonts w:ascii="Arial" w:eastAsia="Times New Roman" w:hAnsi="Arial" w:cs="Arial"/>
          <w:color w:val="000000"/>
          <w:sz w:val="20"/>
          <w:szCs w:val="20"/>
          <w:lang w:eastAsia="ru-RU"/>
        </w:rPr>
        <w:lastRenderedPageBreak/>
        <w:t>б) при прокладке трубопроводов и воздухопроводов с негорючей изоляцией; </w:t>
      </w:r>
    </w:p>
    <w:p w:rsidR="00B86ABD" w:rsidRPr="00B86ABD" w:rsidRDefault="00B86ABD" w:rsidP="00B86ABD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86AB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в) при прокладке одиночных кабелей (проводов) типа НГ для питания цепей освещения; </w:t>
      </w:r>
    </w:p>
    <w:p w:rsidR="00B86ABD" w:rsidRPr="00B86ABD" w:rsidRDefault="00B86ABD" w:rsidP="00B86ABD">
      <w:pPr>
        <w:spacing w:before="100" w:beforeAutospacing="1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86AB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г) при прокладке кабелей (проводов) типа НГ с общим объемом горючей массы менее 1,5 л на 1 метр КЛ за подвесными потолками, выполненными из материалов группы горючести НГ и Г</w:t>
      </w:r>
      <w:proofErr w:type="gramStart"/>
      <w:r w:rsidRPr="00B86AB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</w:t>
      </w:r>
      <w:proofErr w:type="gramEnd"/>
      <w:r w:rsidRPr="00B86AB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. </w:t>
      </w:r>
    </w:p>
    <w:p w:rsidR="00B86ABD" w:rsidRPr="00B86ABD" w:rsidRDefault="00B86ABD" w:rsidP="00B86ABD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86AB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2. В случае если здание (помещение) в целом подлежит защите АУПТ, пространства за подвесными потолками при прокладке в них воздуховодов, трубопроводов с изоляцией, выполненной из материалов группы горючести Г</w:t>
      </w:r>
      <w:proofErr w:type="gramStart"/>
      <w:r w:rsidRPr="00B86AB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</w:t>
      </w:r>
      <w:proofErr w:type="gramEnd"/>
      <w:r w:rsidRPr="00B86ABD">
        <w:rPr>
          <w:rFonts w:ascii="Symbol" w:eastAsia="Times New Roman" w:hAnsi="Symbol" w:cs="Arial"/>
          <w:color w:val="000000"/>
          <w:sz w:val="20"/>
          <w:szCs w:val="20"/>
          <w:lang w:eastAsia="ru-RU"/>
        </w:rPr>
        <w:t></w:t>
      </w:r>
      <w:r w:rsidRPr="00B86AB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Г4, или кабелей (проводов) с объемом горючей массы кабелей (проводов) более 7 л на 1 метр КЛ необходимо защищать соответствующими установками. При этом если высота от перекрытия до подвесного потолка не превышает 0,4 м, устройство АУПТ не требуется. </w:t>
      </w:r>
    </w:p>
    <w:p w:rsidR="00B86ABD" w:rsidRPr="00B86ABD" w:rsidRDefault="00B86ABD" w:rsidP="00B86ABD">
      <w:pPr>
        <w:spacing w:before="100" w:beforeAutospacing="1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86AB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3. Объем горючей массы изоляции кабелей (проводов) определяется по методике, утвержденной в установленном порядке.</w:t>
      </w:r>
    </w:p>
    <w:p w:rsidR="00B86ABD" w:rsidRPr="00B86ABD" w:rsidRDefault="00B86ABD" w:rsidP="00B86ABD">
      <w:pPr>
        <w:spacing w:before="100" w:beforeAutospacing="1" w:after="100" w:afterAutospacing="1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86AB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  <w:r w:rsidRPr="00B86ABD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 xml:space="preserve"> III.</w:t>
      </w:r>
      <w:r w:rsidRPr="00B86AB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r w:rsidRPr="00B86ABD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ПОМЕЩЕНИЯ </w:t>
      </w:r>
    </w:p>
    <w:p w:rsidR="00B86ABD" w:rsidRPr="00B86ABD" w:rsidRDefault="00B86ABD" w:rsidP="00B86ABD">
      <w:pPr>
        <w:spacing w:before="100" w:beforeAutospacing="1" w:after="100" w:afterAutospacing="1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86ABD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>Таблица 3</w:t>
      </w:r>
      <w:r w:rsidRPr="00B86AB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</w:p>
    <w:tbl>
      <w:tblPr>
        <w:tblW w:w="5000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77"/>
        <w:gridCol w:w="112"/>
        <w:gridCol w:w="113"/>
        <w:gridCol w:w="5794"/>
        <w:gridCol w:w="1860"/>
        <w:gridCol w:w="1843"/>
      </w:tblGrid>
      <w:tr w:rsidR="00B86ABD" w:rsidRPr="00B86ABD">
        <w:trPr>
          <w:tblCellSpacing w:w="7" w:type="dxa"/>
        </w:trPr>
        <w:tc>
          <w:tcPr>
            <w:tcW w:w="0" w:type="auto"/>
            <w:gridSpan w:val="4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Объект защиты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АУПТ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АУПС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4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Нормативный показатель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Помещения складского назначения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 Категории</w:t>
            </w:r>
            <w:proofErr w:type="gramStart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А</w:t>
            </w:r>
            <w:proofErr w:type="gramEnd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и Б по взрывопожарной опасности (кроме помещений, расположенных в зданиях и сооружениях по переработке и хранению зерна)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300 м</w:t>
            </w:r>
            <w:proofErr w:type="gramStart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и более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Менее 300 м</w:t>
            </w:r>
            <w:proofErr w:type="gramStart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2. Для хранения каучука, целлулоида и изделий из него, спичек, щелочных металлов, пиротехнических изделий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Независимо от площади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3. Для хранения шерсти, меха и изделий из него; фото-, кин</w:t>
            </w:r>
            <w:proofErr w:type="gramStart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о-</w:t>
            </w:r>
            <w:proofErr w:type="gramEnd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аудиопленки</w:t>
            </w:r>
            <w:proofErr w:type="spellEnd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на горючей основе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То же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4. Категории В</w:t>
            </w:r>
            <w:proofErr w:type="gramStart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  <w:proofErr w:type="gramEnd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по пожарной опасности (кроме указанных в </w:t>
            </w:r>
            <w:proofErr w:type="spellStart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пп</w:t>
            </w:r>
            <w:proofErr w:type="spellEnd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. 3.2; 3.3 и помещений, расположенных в зданиях и сооружениях по переработке и хранению зерна) при их размещении в этажах: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4.1. В цокольном и подвальном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Независимо от площади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4.2. В надземных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300 м</w:t>
            </w:r>
            <w:proofErr w:type="gramStart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и более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Менее 300 м</w:t>
            </w:r>
            <w:proofErr w:type="gramStart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5. Категорий В</w:t>
            </w:r>
            <w:proofErr w:type="gramStart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  <w:proofErr w:type="gramEnd"/>
            <w:r w:rsidRPr="00B86ABD">
              <w:rPr>
                <w:rFonts w:ascii="Symbol" w:eastAsia="Times New Roman" w:hAnsi="Symbol" w:cs="Arial"/>
                <w:color w:val="000000"/>
                <w:sz w:val="20"/>
                <w:szCs w:val="20"/>
                <w:lang w:eastAsia="ru-RU"/>
              </w:rPr>
              <w:t></w:t>
            </w: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В3 по пожарной опасности (кроме указанных в </w:t>
            </w:r>
            <w:proofErr w:type="spellStart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пп</w:t>
            </w:r>
            <w:proofErr w:type="spellEnd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. 2, 3 и помещений, расположенных в зданиях и сооружениях по переработке и хранению зерна) при их размещении в этажах: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5.1. В цокольном и подвальном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То же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То же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5.2. В надземных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1000 м</w:t>
            </w:r>
            <w:proofErr w:type="gramStart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>и более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Менее 1000 м</w:t>
            </w:r>
            <w:proofErr w:type="gramStart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Производственные помещения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6. Категории</w:t>
            </w:r>
            <w:proofErr w:type="gramStart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А</w:t>
            </w:r>
            <w:proofErr w:type="gramEnd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и Б по взрывопожарной опасности с обращением: легковоспламеняющихся и горючих жидкостей, сжиженных горючих газов, горючих </w:t>
            </w:r>
            <w:proofErr w:type="spellStart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пылей</w:t>
            </w:r>
            <w:proofErr w:type="spellEnd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и волокон (кроме указанных в п. 11 и помещений, расположенных в зданиях и сооружениях по переработке и хранению зерна)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300 м</w:t>
            </w:r>
            <w:proofErr w:type="gramStart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и более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Менее 300 м</w:t>
            </w:r>
            <w:proofErr w:type="gramStart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7. С наличием щелочных металлов при размещении в этажах: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7.1. В цокольном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300 м</w:t>
            </w:r>
            <w:proofErr w:type="gramStart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и более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Менее 300 м</w:t>
            </w:r>
            <w:proofErr w:type="gramStart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7.2. В надземных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500 м</w:t>
            </w:r>
            <w:proofErr w:type="gramStart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и более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Менее 500 м</w:t>
            </w:r>
            <w:proofErr w:type="gramStart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8. Категории В</w:t>
            </w:r>
            <w:proofErr w:type="gramStart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  <w:proofErr w:type="gramEnd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по пожарной опасности (кроме помещений, расположенных в зданиях и сооружениях по переработке и хранению зерна) при размещении в этажах: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8.1. В цокольном и подвальном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Независимо от площади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8.2. В надземных (кроме указанных в </w:t>
            </w:r>
            <w:proofErr w:type="spellStart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пп</w:t>
            </w:r>
            <w:proofErr w:type="spellEnd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. 11</w:t>
            </w:r>
            <w:r w:rsidRPr="00B86ABD">
              <w:rPr>
                <w:rFonts w:ascii="Symbol" w:eastAsia="Times New Roman" w:hAnsi="Symbol" w:cs="Arial"/>
                <w:color w:val="000000"/>
                <w:sz w:val="20"/>
                <w:szCs w:val="20"/>
                <w:lang w:eastAsia="ru-RU"/>
              </w:rPr>
              <w:t></w:t>
            </w: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18)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300 м</w:t>
            </w:r>
            <w:proofErr w:type="gramStart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и более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Менее 300 м</w:t>
            </w:r>
            <w:proofErr w:type="gramStart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9. Категории В</w:t>
            </w:r>
            <w:proofErr w:type="gramStart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  <w:proofErr w:type="gramEnd"/>
            <w:r w:rsidRPr="00B86ABD">
              <w:rPr>
                <w:rFonts w:ascii="Symbol" w:eastAsia="Times New Roman" w:hAnsi="Symbol" w:cs="Arial"/>
                <w:color w:val="000000"/>
                <w:sz w:val="20"/>
                <w:szCs w:val="20"/>
                <w:lang w:eastAsia="ru-RU"/>
              </w:rPr>
              <w:t></w:t>
            </w: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В3 по пожарной опасности (кроме указанных в </w:t>
            </w:r>
            <w:proofErr w:type="spellStart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пп</w:t>
            </w:r>
            <w:proofErr w:type="spellEnd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. 10</w:t>
            </w:r>
            <w:r w:rsidRPr="00B86ABD">
              <w:rPr>
                <w:rFonts w:ascii="Symbol" w:eastAsia="Times New Roman" w:hAnsi="Symbol" w:cs="Arial"/>
                <w:color w:val="000000"/>
                <w:sz w:val="20"/>
                <w:szCs w:val="20"/>
                <w:lang w:eastAsia="ru-RU"/>
              </w:rPr>
              <w:t></w:t>
            </w: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18 и помещений, расположенных в зданиях и сооружениях по переработке и хранению зерна) при их размещении в этажах: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9.1. В цокольном и подвальном: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9.1.1. Не </w:t>
            </w:r>
            <w:proofErr w:type="gramStart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имеющие</w:t>
            </w:r>
            <w:proofErr w:type="gramEnd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выходов непосредственно наружу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300 м</w:t>
            </w:r>
            <w:proofErr w:type="gramStart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и более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Менее 300 м</w:t>
            </w:r>
            <w:proofErr w:type="gramStart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9.1.2. При наличии выходов непосредственно наружу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700 м</w:t>
            </w:r>
            <w:proofErr w:type="gramStart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и более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Менее 700 м</w:t>
            </w:r>
            <w:proofErr w:type="gramStart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9.2. В надземных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1000 м</w:t>
            </w:r>
            <w:proofErr w:type="gramStart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ru-RU"/>
              </w:rPr>
              <w:t xml:space="preserve"> </w:t>
            </w: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 более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Менее 1000 м</w:t>
            </w:r>
            <w:proofErr w:type="gramStart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10. Маслоподвалы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Независимо от площади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11. </w:t>
            </w:r>
            <w:proofErr w:type="gramStart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Помещения приготовления: суспензии из алюминиевой пудры, резиновых клеев; на основе ЛВЖ и ГЖ: лаков, красок, клеев, мастик, пропиточных составов; помещения окрасочных, полимеризации синтетического каучука, компрессорных с газотурбинными двигателями, огневых подогревателей нефти.</w:t>
            </w:r>
            <w:proofErr w:type="gramEnd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Помещения генераторами с приводом от двигателей, работающих на жидком топливе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Независимо от площади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12. Помещения высоковольтных испытательных залов, </w:t>
            </w:r>
            <w:proofErr w:type="gramStart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помещения</w:t>
            </w:r>
            <w:proofErr w:type="gramEnd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экранированные горючими материалами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То же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Помещения связи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13. </w:t>
            </w:r>
            <w:proofErr w:type="gramStart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Вентиляционные, трансформаторные помещения, помещения разделительных устройств: передающих радиостанций мощностью передатчиков 150 кВт и выше, приемных радиостанций с числом приемников от 20, стационарных станций космической связи с мощностью передающего устройства более 1 кВт, ретрансляционных телевизионных станций мощностью передатчиков 25</w:t>
            </w:r>
            <w:r w:rsidRPr="00B86ABD">
              <w:rPr>
                <w:rFonts w:ascii="Symbol" w:eastAsia="Times New Roman" w:hAnsi="Symbol" w:cs="Arial"/>
                <w:color w:val="000000"/>
                <w:sz w:val="20"/>
                <w:szCs w:val="20"/>
                <w:lang w:eastAsia="ru-RU"/>
              </w:rPr>
              <w:t></w:t>
            </w: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50 кВт, сетевых узлов, междугородных и городских телефонных станций, телеграфных станций, оконечных усилительных пунктов и районных узлов связи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Независимо от площади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14. Необслуживаемые и обслуживаемые без вечерних и ночных смен: технические цехи оконечных усилительных пунктов, промежуточных радиорелейных станций, передающих и приемных радиоцентров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Независимо от площади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      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15. Необслуживаемые аппаратные базовых станций сотовой системы подвижной радиосвязи и аппаратные радиорелейных станций сотовой системы подвижной радиосвязи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 м</w:t>
            </w:r>
            <w:proofErr w:type="gramStart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и более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Менее 24 м</w:t>
            </w:r>
            <w:proofErr w:type="gramStart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16. Помещения главных касс, помещения бюро контроля переводов и зональных вычислительных центров почтамтов, городских и районных узлов почтовой связи общим объемом зданий: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16.1. 40 тыс. м </w:t>
            </w: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ru-RU"/>
              </w:rPr>
              <w:t>3</w:t>
            </w: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и более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 м</w:t>
            </w:r>
            <w:proofErr w:type="gramStart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и более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16.2. Менее 40 тыс. м </w:t>
            </w: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Менее 24 м</w:t>
            </w:r>
            <w:proofErr w:type="gramStart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17. </w:t>
            </w:r>
            <w:proofErr w:type="spellStart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Автозалы</w:t>
            </w:r>
            <w:proofErr w:type="spellEnd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АТС, где устанавливается коммутационное оборудование квазиэлектронного и электронного типов совместно с ЭВМ, используемой в качестве управляющего комплекса, устройствами ввода-вывода, помещения электронных </w:t>
            </w: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коммутационных станций, узлов, центров документальной электросвязи емкостью: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17.1. 10 тыс. и более номеров, каналов или точек подключения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Независимо от площади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17.2. Менее 10 тыс. номеров, каналов или точек подключения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Независимо от площади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18. Выделенные помещения управляющих устройств на основе ЭВМ автоматических междугородных телефонных станций при емкости станций: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18.1. 10 тыс. междугородных каналов и более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 м</w:t>
            </w:r>
            <w:proofErr w:type="gramStart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и более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Менее 24 м</w:t>
            </w:r>
            <w:proofErr w:type="gramStart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18.2. Менее 10 тыс. междугородных каналов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Независимо от площади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19. Помещения обработки, сортировки, хранения и доставки посылок, письменной корреспонденции, периодической печати, страховой почты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500 м</w:t>
            </w:r>
            <w:proofErr w:type="gramStart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и более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Менее 500 м</w:t>
            </w:r>
            <w:proofErr w:type="gramStart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Помещения транспорта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20. </w:t>
            </w:r>
            <w:proofErr w:type="gramStart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Электромашинные, аппаратные, ремонтные, тележечные и колесные, разборки и сборки вагонов, ремонтно-комплектовочные, </w:t>
            </w:r>
            <w:proofErr w:type="spellStart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электровагонные</w:t>
            </w:r>
            <w:proofErr w:type="spellEnd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, подготовки вагонов, дизельные, технического обслуживания подвижного состава, контейнерных депо, производства стрелочной продукции, горячей обработки цистерн, тепловой камеры обработки вагонов для </w:t>
            </w:r>
            <w:proofErr w:type="spellStart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нефтебитума</w:t>
            </w:r>
            <w:proofErr w:type="spellEnd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, шпалопропиточные, цилиндровые, отстоя пропитанной древесины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Независимо от площади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21. Наземные и подземные помещения и сооружения метрополитенов и подземных скоростных трамваев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 нормативным документам субъектов Российской Федерации, утвержденным в установленном порядке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22. Помещения контрольно-диспетчерского пункта с автоматической системой, центра коммутации сообщений, дальних и ближних приводных радиостанций с радиомаркерами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Независимо от площади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23. Помещения демонтажа и монтажа авиадвигателей, воздушных винтов, шасси и колес самолетов и вертолетов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То же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24. Помещения самолетного и </w:t>
            </w:r>
            <w:proofErr w:type="spellStart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двигателеремонтного</w:t>
            </w:r>
            <w:proofErr w:type="spellEnd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производств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 – "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25. Помещения для хранения транспортных средств, размещаемые в зданиях иного назначения (за исключением индивидуальных жилых домов) при их расположении: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25.1. В подвальных и подземных этажах (в том числе под мостами)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 – "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25.2. В цокольных и надземных этажах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При хранении 3-х и более автомобилей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При хранении менее 3-х автомобилей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Общественные помещения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26. Помещения хранения и выдачи уникальных изданий, отчетов, рукописей и другой документации особой ценности (в том числе архивов операционных отделов)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Независимо от площади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27. Помещения хранилищ и помещения хранения служебных каталогов и описей в библиотеках и архивах с общим фондом хранения: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27.1. 500 тыс. единиц и более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То же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27.2. Менее 500 тыс. единиц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Независимо от </w:t>
            </w: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площади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28. Выставочные залы*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1000 м</w:t>
            </w:r>
            <w:proofErr w:type="gramStart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ru-RU"/>
              </w:rPr>
              <w:t xml:space="preserve"> </w:t>
            </w: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 более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Менее 1000 м</w:t>
            </w:r>
            <w:proofErr w:type="gramStart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29. Помещения хранения музейных ценностей*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Независимо от площади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30. В зданиях культурно-зрелищного назначения: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30.1. В кинотеатрах и клубах с эстрадами при вместимости зала более 700 мест при наличии колосников**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То же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30.2. В клубах со сценами размерами, м: 12,5х</w:t>
            </w:r>
            <w:proofErr w:type="gramStart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  <w:proofErr w:type="gramEnd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,5; 15х7,5; 18х9 и 21х12 при вместимости зала до 700 мест**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 – "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30.3. В клубах со сценами размерами 18х9; 21х12 при вместимости зрительного зала более 700 мест, со сценами 18х12 и 21х15 независимо от вместимости, а также в театрах**</w:t>
            </w: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ru-RU"/>
              </w:rPr>
              <w:t xml:space="preserve">, </w:t>
            </w: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***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 – "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30.4. В концертных и киноконцертных залах филармоний вместимостью 800 мест и более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Независимо от площади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30.5. Склады декораций, бутафории и реквизита, столярные мастерские, фуражные, инвентарные и хозяйственные кладовые, помещения хранения и изготовления рекламы, помещения производственного назначения и обслуживания сцены, помещения для животных, чердачное </w:t>
            </w:r>
            <w:proofErr w:type="spellStart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подкупольное</w:t>
            </w:r>
            <w:proofErr w:type="spellEnd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пространство над зрительным залом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Независимо от площади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31. Помещения хранилищ ценностей: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31.1. В банках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 ВНП 001-95/Банк России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31.2. В ломбардах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Независимо от площади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32. Съемочные павильоны киностудий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1000 м</w:t>
            </w:r>
            <w:proofErr w:type="gramStart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ru-RU"/>
              </w:rPr>
              <w:t xml:space="preserve"> </w:t>
            </w: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 более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Менее 1000 м</w:t>
            </w:r>
            <w:proofErr w:type="gramStart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33. Помещения (камеры) хранения багажа ручной клади (кроме оборудованных автоматическими ячейками) и склады горючих материалов в зданиях вокзалов (в том числе аэровокзалов) в этажах: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33.1. В цокольном и подвальном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Независимо от площади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33.2. В надземных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300 м</w:t>
            </w:r>
            <w:proofErr w:type="gramStart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и более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Менее 300 м</w:t>
            </w:r>
            <w:proofErr w:type="gramStart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34. Помещения для хранения горючих материалов или негорючих материалов в горючей упаковке, при расположении их: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34.1. Под трибунами любой вместимости в крытых спортивных сооружениях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 м</w:t>
            </w:r>
            <w:proofErr w:type="gramStart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и более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Менее 100 м</w:t>
            </w:r>
            <w:proofErr w:type="gramStart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34.2. В зданиях крытых спортивных сооружений вместимостью 800 и более зрителей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То же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То же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34.3. Под трибунами вместимостью 3000 и более зрителей при открытых спортивных сооружениях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 – "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 – "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35. Помещения для размещения: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35.1. Электронно-вычислительных машин (ЭВМ), работающих в системах управления сложными технологическими процессами, нарушение которых влияет на безопасность людей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Независимо от площади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35.2. Связных процессоров (серверные), архивов магнитных и бумажных носителей, графопостроителей, печати информации на бумажных носителях (принтерные)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 м</w:t>
            </w:r>
            <w:proofErr w:type="gramStart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и более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Менее 24 м</w:t>
            </w:r>
            <w:proofErr w:type="gramStart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35.3. Для размещения персональных ЭВМ на рабочих столах пользователей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Независимо от площади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36. Помещения предприятий торговли, встроенные в здания другого назначения: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36.1. Подвальные и цокольные этажи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200 м</w:t>
            </w:r>
            <w:proofErr w:type="gramStart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и более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Менее 200 м</w:t>
            </w:r>
            <w:proofErr w:type="gramStart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36.2. Надземные этажи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500 м</w:t>
            </w:r>
            <w:proofErr w:type="gramStart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и более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Менее 500 м</w:t>
            </w:r>
            <w:proofErr w:type="gramStart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37. Помещения производственного и складского назначения, расположенные в научно-исследовательских учреждениях и других общественных зданиях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Оборудуются в соответствии с табл. 3 настоящих норм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38. Помещения иного административного и общественного назначения, в том числе встроенные и пристроенные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Независимо от площади</w:t>
            </w:r>
          </w:p>
        </w:tc>
      </w:tr>
    </w:tbl>
    <w:p w:rsidR="00B86ABD" w:rsidRPr="00B86ABD" w:rsidRDefault="00B86ABD" w:rsidP="00B86ABD">
      <w:pPr>
        <w:spacing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86AB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Примечания: </w:t>
      </w:r>
      <w:r w:rsidRPr="00B86ABD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* Данное требование не распространяется на помещения, временно используемые для выставок (фойе, вестибюли и т. д.), а так же на помещения, где хранение ценностей производится в металлических сейфах. </w:t>
      </w:r>
    </w:p>
    <w:p w:rsidR="00B86ABD" w:rsidRPr="00B86ABD" w:rsidRDefault="00B86ABD" w:rsidP="00B86ABD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86AB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** Дренчеры устанавливаются под колосниками сцены и арьерсцены, под нижним ярусом рабочих галерей и соединяющими их нижними переходными мостиками, в сейфах скатанных декораций и во всех проемах сцены, включая проемы портала, карманов и арьерсцены, а также части трюма, занятой конструкциями встроенного оборудования сцены и подъемно-опускных устройств. </w:t>
      </w:r>
    </w:p>
    <w:p w:rsidR="00B86ABD" w:rsidRPr="00B86ABD" w:rsidRDefault="00B86ABD" w:rsidP="00B86ABD">
      <w:pPr>
        <w:spacing w:before="100" w:beforeAutospacing="1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proofErr w:type="gramStart"/>
      <w:r w:rsidRPr="00B86AB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*** </w:t>
      </w:r>
      <w:proofErr w:type="spellStart"/>
      <w:r w:rsidRPr="00B86AB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Спринклерными</w:t>
      </w:r>
      <w:proofErr w:type="spellEnd"/>
      <w:r w:rsidRPr="00B86AB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установками оборудуются: покрытия сцены и арьерсцены, все рабочие галереи и переходные мостики, кроме нижних, трюм (кроме встроенного оборудования сцены), карманы сцены, арьерсцена, а также складские помещения, кладовые, мастерские, помещения станковых и объемных декораций, камера пылеудаления. </w:t>
      </w:r>
      <w:proofErr w:type="gramEnd"/>
    </w:p>
    <w:p w:rsidR="00B86ABD" w:rsidRPr="00B86ABD" w:rsidRDefault="00B86ABD" w:rsidP="00B86ABD">
      <w:pPr>
        <w:spacing w:before="100" w:beforeAutospacing="1" w:after="100" w:afterAutospacing="1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86ABD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IV. ОБОРУДОВАНИЕ </w:t>
      </w:r>
    </w:p>
    <w:p w:rsidR="00B86ABD" w:rsidRPr="00B86ABD" w:rsidRDefault="00B86ABD" w:rsidP="00B86ABD">
      <w:pPr>
        <w:spacing w:before="100" w:beforeAutospacing="1" w:after="100" w:afterAutospacing="1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bookmarkStart w:id="0" w:name="_GoBack"/>
      <w:r w:rsidRPr="00B86ABD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>Таблица 4</w:t>
      </w:r>
      <w:r w:rsidRPr="00B86AB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</w:p>
    <w:tbl>
      <w:tblPr>
        <w:tblW w:w="5000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227"/>
        <w:gridCol w:w="7423"/>
        <w:gridCol w:w="1720"/>
        <w:gridCol w:w="729"/>
      </w:tblGrid>
      <w:tr w:rsidR="00B86ABD" w:rsidRPr="00B86ABD">
        <w:trPr>
          <w:tblCellSpacing w:w="7" w:type="dxa"/>
        </w:trPr>
        <w:tc>
          <w:tcPr>
            <w:tcW w:w="0" w:type="auto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bookmarkEnd w:id="0"/>
          <w:p w:rsidR="00B86ABD" w:rsidRPr="00B86ABD" w:rsidRDefault="00B86ABD" w:rsidP="00B86AB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Объект защиты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АУПТ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АУПС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Нормативный показатель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 Окрасочные камеры с применением ЛВЖ и ГЖ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Независимо от типа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2. Сушильные камеры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То же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3. Циклоны (бункеры) для сбора горючих отходов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 – "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4. Трансформаторы и реакторы: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4.1. Напряжением 500 </w:t>
            </w:r>
            <w:proofErr w:type="spellStart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и выше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Независимо от мощности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4.2. Напряжением 220</w:t>
            </w:r>
            <w:r w:rsidRPr="00B86ABD">
              <w:rPr>
                <w:rFonts w:ascii="Symbol" w:eastAsia="Times New Roman" w:hAnsi="Symbol" w:cs="Arial"/>
                <w:color w:val="000000"/>
                <w:sz w:val="20"/>
                <w:szCs w:val="20"/>
                <w:lang w:eastAsia="ru-RU"/>
              </w:rPr>
              <w:t></w:t>
            </w: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330 </w:t>
            </w:r>
            <w:proofErr w:type="spellStart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и выше, мощностью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200 МВА и выше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4.3. Напряжением 110 </w:t>
            </w:r>
            <w:proofErr w:type="spellStart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и выше, установленные у здания гидроэлектростанций, с единичной мощностью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 МВА и выше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4.4. Напряжением 110 </w:t>
            </w:r>
            <w:proofErr w:type="spellStart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и выше, установленные в камерах закрытых подстанций глубокого ввода и в закрытых распределительных установках электростанций и подстанций, мощностью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 МВА и выше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5. Испытательные станции передвижных электростанций и агрегатов с дизел</w:t>
            </w:r>
            <w:proofErr w:type="gramStart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ь-</w:t>
            </w:r>
            <w:proofErr w:type="gramEnd"/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и бензоэлектрическими агрегатами, смонтированными на автомашинах и прицепах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Независимо от площади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6. Стеллажи высотой более 5,5 м для хранения горючих материалов и негорючих материалов в горючей упаковке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Независимо от площади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86ABD" w:rsidRPr="00B86ABD">
        <w:trPr>
          <w:tblCellSpacing w:w="7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7. Масляные емкости для закаливания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 м</w:t>
            </w: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ru-RU"/>
              </w:rPr>
              <w:t>3</w:t>
            </w: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и более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6ABD" w:rsidRPr="00B86ABD" w:rsidRDefault="00B86ABD" w:rsidP="00B86AB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86A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:rsidR="0031335B" w:rsidRDefault="00B86ABD">
      <w:r w:rsidRPr="00B86AB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sectPr w:rsidR="0031335B" w:rsidSect="007575C0">
      <w:pgSz w:w="11906" w:h="16838"/>
      <w:pgMar w:top="794" w:right="851" w:bottom="79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ABD"/>
    <w:rsid w:val="0031335B"/>
    <w:rsid w:val="007575C0"/>
    <w:rsid w:val="007E037B"/>
    <w:rsid w:val="00876331"/>
    <w:rsid w:val="0092522A"/>
    <w:rsid w:val="00B86ABD"/>
    <w:rsid w:val="00F80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689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9362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6313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100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77739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8467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3785</Words>
  <Characters>21577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2014-12-10T10:05:00Z</dcterms:created>
  <dcterms:modified xsi:type="dcterms:W3CDTF">2014-12-10T10:07:00Z</dcterms:modified>
</cp:coreProperties>
</file>